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03月 07日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编写系统功能文档；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与程序沟通协作，跟进功能制作，并验收；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与组内成员密切配合，有效讨论玩法设计，并能很好的执行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跟进功能相关的美术素材制作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二</w:t>
            </w:r>
            <w:r>
              <w:rPr>
                <w:rFonts w:hint="eastAsia" w:ascii="微软雅黑" w:hAnsi="微软雅黑" w:eastAsia="微软雅黑"/>
                <w:szCs w:val="21"/>
              </w:rPr>
              <w:t>年以上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SLG</w:t>
            </w:r>
            <w:r>
              <w:rPr>
                <w:rFonts w:hint="eastAsia" w:ascii="微软雅黑" w:hAnsi="微软雅黑" w:eastAsia="微软雅黑"/>
                <w:szCs w:val="21"/>
              </w:rPr>
              <w:t>游戏开发经验；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具有大量的游戏经验，对游戏有强烈爱好，并深度沉迷过一款游戏；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具有良好的逻辑分析能力；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具有良好的语言和文字表达能力；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Cs w:val="21"/>
              </w:rPr>
              <w:t>000-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/>
                <w:szCs w:val="21"/>
              </w:rPr>
              <w:t>000    建议入职时间： 2018 年  3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D5C39"/>
    <w:rsid w:val="002E7BC7"/>
    <w:rsid w:val="002F12C8"/>
    <w:rsid w:val="002F6D92"/>
    <w:rsid w:val="0033283B"/>
    <w:rsid w:val="0037343B"/>
    <w:rsid w:val="003973AD"/>
    <w:rsid w:val="003E4069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868EB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1E1F13F4"/>
    <w:rsid w:val="35B510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C0472F-9157-4268-A710-EE31A9D4C1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112</Words>
  <Characters>641</Characters>
  <Lines>5</Lines>
  <Paragraphs>1</Paragraphs>
  <TotalTime>92</TotalTime>
  <ScaleCrop>false</ScaleCrop>
  <LinksUpToDate>false</LinksUpToDate>
  <CharactersWithSpaces>752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2021-12-24T03:56:31Z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6CAF8904AEA34855BC0DC4A2A7F1BC10</vt:lpwstr>
  </property>
</Properties>
</file>